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4B" w:rsidRPr="00877B4B" w:rsidRDefault="00D22D7A" w:rsidP="00D22D7A">
      <w:pPr>
        <w:spacing w:after="0" w:line="240" w:lineRule="auto"/>
      </w:pPr>
      <w:r w:rsidRPr="004131F1">
        <w:t xml:space="preserve">The Board of Regents recognizes five (5) </w:t>
      </w:r>
      <w:r w:rsidRPr="004131F1">
        <w:rPr>
          <w:b/>
        </w:rPr>
        <w:t>Strategic Institutional Outcomes</w:t>
      </w:r>
      <w:r w:rsidRPr="004131F1">
        <w:t xml:space="preserve"> (SIOs) for the COM-FSM Vision.  These outcomes align the Vision with the Mission and serve as a framework to assess </w:t>
      </w:r>
      <w:r w:rsidR="00DF6F17" w:rsidRPr="004131F1">
        <w:t xml:space="preserve">the </w:t>
      </w:r>
      <w:r w:rsidRPr="004131F1">
        <w:t>performance of the strategic plan.  The</w:t>
      </w:r>
      <w:r w:rsidR="00BD154B" w:rsidRPr="004131F1">
        <w:t>se</w:t>
      </w:r>
      <w:r w:rsidRPr="004131F1">
        <w:t xml:space="preserve"> Strategic Institutional Outcomes </w:t>
      </w:r>
      <w:r w:rsidR="00BD154B" w:rsidRPr="004131F1">
        <w:t>call for COM-</w:t>
      </w:r>
      <w:r w:rsidRPr="004131F1">
        <w:t>FSM to:</w:t>
      </w:r>
    </w:p>
    <w:p w:rsidR="00D22D7A" w:rsidRPr="00877B4B" w:rsidRDefault="00D22D7A" w:rsidP="00877B4B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Theme="minorHAnsi" w:hAnsiTheme="minorHAnsi"/>
          <w:b/>
          <w:sz w:val="22"/>
          <w:szCs w:val="22"/>
        </w:rPr>
      </w:pPr>
      <w:r w:rsidRPr="00877B4B">
        <w:rPr>
          <w:rFonts w:asciiTheme="minorHAnsi" w:hAnsiTheme="minorHAnsi"/>
          <w:b/>
          <w:sz w:val="22"/>
          <w:szCs w:val="22"/>
        </w:rPr>
        <w:t>Emphasize Academic Offerings in Service to National Needs</w:t>
      </w:r>
    </w:p>
    <w:p w:rsidR="00D22D7A" w:rsidRPr="00877B4B" w:rsidRDefault="00D22D7A" w:rsidP="00877B4B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Theme="minorHAnsi" w:hAnsiTheme="minorHAnsi"/>
          <w:b/>
          <w:sz w:val="22"/>
          <w:szCs w:val="22"/>
        </w:rPr>
      </w:pPr>
      <w:r w:rsidRPr="00877B4B">
        <w:rPr>
          <w:rFonts w:asciiTheme="minorHAnsi" w:hAnsiTheme="minorHAnsi"/>
          <w:b/>
          <w:sz w:val="22"/>
          <w:szCs w:val="22"/>
        </w:rPr>
        <w:t>Focus on Student Success</w:t>
      </w:r>
    </w:p>
    <w:p w:rsidR="00D22D7A" w:rsidRPr="00877B4B" w:rsidRDefault="00D22D7A" w:rsidP="00877B4B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Theme="minorHAnsi" w:hAnsiTheme="minorHAnsi"/>
          <w:b/>
          <w:sz w:val="22"/>
          <w:szCs w:val="22"/>
        </w:rPr>
      </w:pPr>
      <w:r w:rsidRPr="00877B4B">
        <w:rPr>
          <w:rFonts w:asciiTheme="minorHAnsi" w:hAnsiTheme="minorHAnsi"/>
          <w:b/>
          <w:sz w:val="22"/>
          <w:szCs w:val="22"/>
        </w:rPr>
        <w:t>Be Financially Sound</w:t>
      </w:r>
      <w:r w:rsidR="00877B4B" w:rsidRPr="00877B4B">
        <w:rPr>
          <w:rFonts w:asciiTheme="minorHAnsi" w:hAnsiTheme="minorHAnsi"/>
          <w:b/>
          <w:sz w:val="22"/>
          <w:szCs w:val="22"/>
        </w:rPr>
        <w:t>, Fiscally Responsible,  and Build Resources in Anticipation of Future Needs</w:t>
      </w:r>
    </w:p>
    <w:p w:rsidR="00D22D7A" w:rsidRPr="00877B4B" w:rsidRDefault="00D22D7A" w:rsidP="00877B4B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Theme="minorHAnsi" w:hAnsiTheme="minorHAnsi"/>
          <w:b/>
          <w:sz w:val="22"/>
          <w:szCs w:val="22"/>
        </w:rPr>
      </w:pPr>
      <w:r w:rsidRPr="00877B4B">
        <w:rPr>
          <w:rFonts w:asciiTheme="minorHAnsi" w:hAnsiTheme="minorHAnsi"/>
          <w:b/>
          <w:sz w:val="22"/>
          <w:szCs w:val="22"/>
        </w:rPr>
        <w:t>Invest in and Build a Strong Capacity in Human Capital</w:t>
      </w:r>
    </w:p>
    <w:p w:rsidR="00BD154B" w:rsidRPr="00877B4B" w:rsidRDefault="00D22D7A" w:rsidP="00877B4B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Theme="minorHAnsi" w:hAnsiTheme="minorHAnsi"/>
          <w:b/>
          <w:sz w:val="22"/>
          <w:szCs w:val="22"/>
        </w:rPr>
      </w:pPr>
      <w:r w:rsidRPr="00877B4B">
        <w:rPr>
          <w:rFonts w:asciiTheme="minorHAnsi" w:hAnsiTheme="minorHAnsi"/>
          <w:b/>
          <w:sz w:val="22"/>
          <w:szCs w:val="22"/>
        </w:rPr>
        <w:t>Be a Learning Organization that Exemplifies Participatory Governance</w:t>
      </w:r>
    </w:p>
    <w:p w:rsidR="00DF6F17" w:rsidRPr="004131F1" w:rsidRDefault="00877B4B" w:rsidP="00D22D7A">
      <w:r>
        <w:t>Over a period of 6 months</w:t>
      </w:r>
      <w:r w:rsidR="00BD154B" w:rsidRPr="004131F1">
        <w:t xml:space="preserve"> t</w:t>
      </w:r>
      <w:r w:rsidR="00D22D7A" w:rsidRPr="004131F1">
        <w:t xml:space="preserve">he Board </w:t>
      </w:r>
      <w:r w:rsidR="00BD154B" w:rsidRPr="004131F1">
        <w:t xml:space="preserve">of Regents has </w:t>
      </w:r>
      <w:r w:rsidR="004131F1" w:rsidRPr="004131F1">
        <w:t xml:space="preserve">watched with care and </w:t>
      </w:r>
      <w:r w:rsidR="00BD154B" w:rsidRPr="004131F1">
        <w:t>reflected</w:t>
      </w:r>
      <w:r w:rsidR="00D22D7A" w:rsidRPr="004131F1">
        <w:t xml:space="preserve"> </w:t>
      </w:r>
      <w:r w:rsidR="00BD154B" w:rsidRPr="004131F1">
        <w:t xml:space="preserve">on </w:t>
      </w:r>
      <w:r>
        <w:t xml:space="preserve">the </w:t>
      </w:r>
      <w:r w:rsidR="004131F1" w:rsidRPr="004131F1">
        <w:t xml:space="preserve">thoughtful dialog which has taken place within the institutional </w:t>
      </w:r>
      <w:r w:rsidR="00DF6F17" w:rsidRPr="004131F1">
        <w:t>v</w:t>
      </w:r>
      <w:r w:rsidR="00BD154B" w:rsidRPr="004131F1">
        <w:t xml:space="preserve">isioning process. </w:t>
      </w:r>
      <w:r w:rsidR="004131F1" w:rsidRPr="004131F1">
        <w:t xml:space="preserve">The Regents now offer their input </w:t>
      </w:r>
      <w:r w:rsidR="00BD154B" w:rsidRPr="004131F1">
        <w:t xml:space="preserve">to help </w:t>
      </w:r>
      <w:r w:rsidR="004131F1" w:rsidRPr="004131F1">
        <w:t>shape the final strategic direction of COM-FSM’s</w:t>
      </w:r>
      <w:r w:rsidR="00BD154B" w:rsidRPr="004131F1">
        <w:t xml:space="preserve"> shared Vision</w:t>
      </w:r>
      <w:r w:rsidR="004131F1" w:rsidRPr="004131F1">
        <w:t xml:space="preserve"> – a vision we all believe </w:t>
      </w:r>
      <w:r w:rsidR="00BD154B" w:rsidRPr="004131F1">
        <w:t xml:space="preserve">will inspire and guide the College along its journey for the next </w:t>
      </w:r>
      <w:r>
        <w:t>five (</w:t>
      </w:r>
      <w:r w:rsidR="00BD154B" w:rsidRPr="004131F1">
        <w:t>5</w:t>
      </w:r>
      <w:r>
        <w:t>)</w:t>
      </w:r>
      <w:r w:rsidR="00BD154B" w:rsidRPr="004131F1">
        <w:t xml:space="preserve"> years.  </w:t>
      </w:r>
      <w:r w:rsidR="00DF6F17" w:rsidRPr="004131F1">
        <w:t xml:space="preserve">The Regents have </w:t>
      </w:r>
      <w:r w:rsidR="00D22D7A" w:rsidRPr="004131F1">
        <w:t xml:space="preserve">collaboratively identified </w:t>
      </w:r>
      <w:r w:rsidR="00BD154B" w:rsidRPr="004131F1">
        <w:t>eighteen (18</w:t>
      </w:r>
      <w:r w:rsidR="00D22D7A" w:rsidRPr="004131F1">
        <w:t xml:space="preserve">) elements that help define an aspirational future – or destination </w:t>
      </w:r>
      <w:r w:rsidRPr="004131F1">
        <w:t>–</w:t>
      </w:r>
      <w:r w:rsidR="00BD154B" w:rsidRPr="004131F1">
        <w:t xml:space="preserve"> for the COM-FSM “canoe”.  Collected and organized within the Strategic Institutional Outcomes framework (below), they are offered to the in</w:t>
      </w:r>
      <w:bookmarkStart w:id="0" w:name="_GoBack"/>
      <w:bookmarkEnd w:id="0"/>
      <w:r w:rsidR="00BD154B" w:rsidRPr="004131F1">
        <w:t xml:space="preserve">stitutional visioning process </w:t>
      </w:r>
      <w:r w:rsidR="00D22D7A" w:rsidRPr="004131F1">
        <w:t>for further reflection and discussion</w:t>
      </w:r>
      <w:r w:rsidR="00BD154B" w:rsidRPr="004131F1">
        <w:t>.</w:t>
      </w:r>
      <w:r w:rsidR="00D22D7A" w:rsidRPr="004131F1">
        <w:t xml:space="preserve"> </w:t>
      </w:r>
      <w:r w:rsidR="00DF6F17" w:rsidRPr="004131F1">
        <w:t xml:space="preserve">  </w:t>
      </w:r>
    </w:p>
    <w:p w:rsidR="00DF6F17" w:rsidRPr="004131F1" w:rsidRDefault="00DF6F17" w:rsidP="00D22D7A">
      <w:r w:rsidRPr="004131F1">
        <w:t xml:space="preserve">A final, but essential, point of emphasis </w:t>
      </w:r>
      <w:r w:rsidR="00D470E8">
        <w:t>is that C</w:t>
      </w:r>
      <w:r w:rsidR="008644B6">
        <w:t>OM-FSM must have as a</w:t>
      </w:r>
      <w:r w:rsidRPr="004131F1">
        <w:t xml:space="preserve"> central tenet of its visioning work that the College must achieve and maintain an accreditation that is without sanction and for the maximum six-year term allowed by the ACCJC.  </w:t>
      </w:r>
    </w:p>
    <w:p w:rsidR="00DF6F17" w:rsidRPr="004131F1" w:rsidRDefault="00DF6F17">
      <w:r w:rsidRPr="004131F1">
        <w:t xml:space="preserve">The Regents look forward to receiving the final recommendations on institutional Vision at their </w:t>
      </w:r>
      <w:proofErr w:type="gramStart"/>
      <w:r w:rsidRPr="004131F1">
        <w:t>Spring</w:t>
      </w:r>
      <w:proofErr w:type="gramEnd"/>
      <w:r w:rsidRPr="004131F1">
        <w:t xml:space="preserve"> 2013 meeting. </w:t>
      </w:r>
    </w:p>
    <w:tbl>
      <w:tblPr>
        <w:tblStyle w:val="TableGrid"/>
        <w:tblW w:w="10596" w:type="dxa"/>
        <w:tblInd w:w="-252" w:type="dxa"/>
        <w:tblLook w:val="04A0" w:firstRow="1" w:lastRow="0" w:firstColumn="1" w:lastColumn="0" w:noHBand="0" w:noVBand="1"/>
      </w:tblPr>
      <w:tblGrid>
        <w:gridCol w:w="2268"/>
        <w:gridCol w:w="1980"/>
        <w:gridCol w:w="1980"/>
        <w:gridCol w:w="2208"/>
        <w:gridCol w:w="2160"/>
      </w:tblGrid>
      <w:tr w:rsidR="00D22D7A" w:rsidTr="00C66DF3">
        <w:tc>
          <w:tcPr>
            <w:tcW w:w="2268" w:type="dxa"/>
            <w:shd w:val="clear" w:color="auto" w:fill="B6DDE8" w:themeFill="accent5" w:themeFillTint="66"/>
          </w:tcPr>
          <w:p w:rsidR="00D22D7A" w:rsidRDefault="00D22D7A" w:rsidP="00C66DF3">
            <w:pPr>
              <w:pStyle w:val="List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D22D7A" w:rsidRPr="00197C61" w:rsidRDefault="00D22D7A" w:rsidP="00C66DF3">
            <w:pPr>
              <w:pStyle w:val="ListParagraph"/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197C61">
              <w:rPr>
                <w:b/>
                <w:sz w:val="16"/>
                <w:szCs w:val="16"/>
              </w:rPr>
              <w:t xml:space="preserve">Emphasize Academic Offerings in Service to </w:t>
            </w:r>
            <w:r w:rsidRPr="00197C61">
              <w:rPr>
                <w:b/>
                <w:sz w:val="16"/>
                <w:szCs w:val="16"/>
                <w:u w:val="single"/>
              </w:rPr>
              <w:t>National Needs</w:t>
            </w:r>
          </w:p>
          <w:p w:rsidR="00D22D7A" w:rsidRPr="00DF6F17" w:rsidRDefault="00D22D7A" w:rsidP="00DF6F17">
            <w:pPr>
              <w:rPr>
                <w:sz w:val="16"/>
                <w:szCs w:val="16"/>
              </w:rPr>
            </w:pPr>
          </w:p>
          <w:p w:rsidR="00D22D7A" w:rsidRPr="00DD66B8" w:rsidRDefault="00D22D7A" w:rsidP="00C66DF3">
            <w:pPr>
              <w:rPr>
                <w:sz w:val="16"/>
                <w:szCs w:val="16"/>
              </w:rPr>
            </w:pPr>
          </w:p>
          <w:p w:rsidR="00D22D7A" w:rsidRDefault="00D22D7A" w:rsidP="00C66DF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180" w:hanging="180"/>
              <w:rPr>
                <w:sz w:val="16"/>
                <w:szCs w:val="16"/>
              </w:rPr>
            </w:pPr>
            <w:r w:rsidRPr="00197C61">
              <w:rPr>
                <w:sz w:val="16"/>
                <w:szCs w:val="16"/>
              </w:rPr>
              <w:t>Build strong career/technical program offerings for non-college-bound students</w:t>
            </w:r>
          </w:p>
          <w:p w:rsidR="00D22D7A" w:rsidRPr="00197C61" w:rsidRDefault="00D22D7A" w:rsidP="00C66DF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Offer 4 year program opportunities (perhaps in conjunction with accredited partners) in national priority needs</w:t>
            </w:r>
          </w:p>
          <w:p w:rsidR="00D22D7A" w:rsidRPr="00197C61" w:rsidRDefault="00D22D7A" w:rsidP="00C66DF3">
            <w:pPr>
              <w:pStyle w:val="ListParagraph"/>
              <w:spacing w:after="200" w:line="276" w:lineRule="auto"/>
              <w:ind w:left="180"/>
              <w:rPr>
                <w:sz w:val="16"/>
                <w:szCs w:val="16"/>
              </w:rPr>
            </w:pPr>
          </w:p>
          <w:p w:rsidR="00D22D7A" w:rsidRPr="00197C61" w:rsidRDefault="00D22D7A" w:rsidP="00C66DF3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:rsidR="00D22D7A" w:rsidRDefault="00D22D7A" w:rsidP="00D22D7A">
            <w:pPr>
              <w:pStyle w:val="ListParagraph"/>
              <w:ind w:left="0"/>
              <w:rPr>
                <w:b/>
                <w:sz w:val="16"/>
                <w:szCs w:val="16"/>
              </w:rPr>
            </w:pPr>
          </w:p>
          <w:p w:rsidR="00D22D7A" w:rsidRDefault="00D22D7A" w:rsidP="00D22D7A">
            <w:pPr>
              <w:pStyle w:val="List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D22D7A" w:rsidRPr="00197C61" w:rsidRDefault="00D22D7A" w:rsidP="00D22D7A">
            <w:pPr>
              <w:pStyle w:val="ListParagraph"/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197C61">
              <w:rPr>
                <w:b/>
                <w:sz w:val="16"/>
                <w:szCs w:val="16"/>
              </w:rPr>
              <w:t>Focus on</w:t>
            </w:r>
            <w:r w:rsidRPr="00197C61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D22D7A" w:rsidRPr="00197C61" w:rsidRDefault="00D22D7A" w:rsidP="00D22D7A">
            <w:pPr>
              <w:pStyle w:val="ListParagraph"/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197C61">
              <w:rPr>
                <w:b/>
                <w:sz w:val="16"/>
                <w:szCs w:val="16"/>
                <w:u w:val="single"/>
              </w:rPr>
              <w:t>Student Success</w:t>
            </w:r>
          </w:p>
          <w:p w:rsidR="00D22D7A" w:rsidRPr="00197C61" w:rsidRDefault="00D22D7A" w:rsidP="00D22D7A">
            <w:pPr>
              <w:pStyle w:val="ListParagraph"/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22D7A" w:rsidRPr="00197C61" w:rsidRDefault="00D22D7A" w:rsidP="00D22D7A">
            <w:pPr>
              <w:pStyle w:val="ListParagraph"/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E85AB5" w:rsidRDefault="00D22D7A" w:rsidP="00E85AB5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16"/>
                <w:szCs w:val="16"/>
              </w:rPr>
            </w:pPr>
            <w:r w:rsidRPr="00197C61">
              <w:rPr>
                <w:sz w:val="16"/>
                <w:szCs w:val="16"/>
              </w:rPr>
              <w:t>Pursue excellence  in student success</w:t>
            </w:r>
          </w:p>
          <w:p w:rsidR="00D22D7A" w:rsidRPr="00E85AB5" w:rsidRDefault="00D22D7A" w:rsidP="00E85AB5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16"/>
                <w:szCs w:val="16"/>
              </w:rPr>
            </w:pPr>
            <w:r w:rsidRPr="00E85AB5">
              <w:rPr>
                <w:sz w:val="16"/>
                <w:szCs w:val="16"/>
              </w:rPr>
              <w:t>Develop a balance between “access and success” with appropriate educational and career pathways for FSM students</w:t>
            </w:r>
          </w:p>
          <w:p w:rsidR="00D22D7A" w:rsidRPr="00D22D7A" w:rsidRDefault="00D22D7A" w:rsidP="00D22D7A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197C6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shd w:val="clear" w:color="auto" w:fill="B6DDE8" w:themeFill="accent5" w:themeFillTint="66"/>
          </w:tcPr>
          <w:p w:rsidR="00D22D7A" w:rsidRPr="00197C61" w:rsidRDefault="00D22D7A" w:rsidP="00D22D7A">
            <w:pPr>
              <w:pStyle w:val="ListParagraph"/>
              <w:ind w:left="0"/>
              <w:jc w:val="center"/>
              <w:rPr>
                <w:b/>
                <w:sz w:val="16"/>
                <w:szCs w:val="16"/>
              </w:rPr>
            </w:pPr>
            <w:r w:rsidRPr="00197C61">
              <w:rPr>
                <w:b/>
                <w:sz w:val="16"/>
                <w:szCs w:val="16"/>
              </w:rPr>
              <w:t>Be Financially Sound, Fiscally Responsible,  and Build Resources in Anticipation of</w:t>
            </w:r>
          </w:p>
          <w:p w:rsidR="00D22D7A" w:rsidRPr="00197C61" w:rsidRDefault="00D22D7A" w:rsidP="00D22D7A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197C61">
              <w:rPr>
                <w:b/>
                <w:sz w:val="16"/>
                <w:szCs w:val="16"/>
                <w:u w:val="single"/>
              </w:rPr>
              <w:t>Future Needs</w:t>
            </w:r>
          </w:p>
          <w:p w:rsidR="00D22D7A" w:rsidRPr="00197C61" w:rsidRDefault="00D22D7A" w:rsidP="00D22D7A">
            <w:pPr>
              <w:pStyle w:val="ListParagraph"/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22D7A" w:rsidRPr="00197C61" w:rsidRDefault="00D22D7A" w:rsidP="00D22D7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16"/>
                <w:szCs w:val="16"/>
              </w:rPr>
            </w:pPr>
            <w:r w:rsidRPr="00197C61">
              <w:rPr>
                <w:sz w:val="16"/>
                <w:szCs w:val="16"/>
              </w:rPr>
              <w:t xml:space="preserve">Create an allied foundation to </w:t>
            </w:r>
            <w:r>
              <w:rPr>
                <w:sz w:val="16"/>
                <w:szCs w:val="16"/>
              </w:rPr>
              <w:t xml:space="preserve">raise funds and </w:t>
            </w:r>
            <w:r w:rsidRPr="00197C61">
              <w:rPr>
                <w:sz w:val="16"/>
                <w:szCs w:val="16"/>
              </w:rPr>
              <w:t>accumulate endowment assets for the college’s future</w:t>
            </w:r>
          </w:p>
          <w:p w:rsidR="00D22D7A" w:rsidRPr="00197C61" w:rsidRDefault="00D22D7A" w:rsidP="00D22D7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16"/>
                <w:szCs w:val="16"/>
              </w:rPr>
            </w:pPr>
            <w:r w:rsidRPr="00197C61">
              <w:rPr>
                <w:sz w:val="16"/>
                <w:szCs w:val="16"/>
              </w:rPr>
              <w:t xml:space="preserve">Create diversified revenue sources </w:t>
            </w:r>
          </w:p>
          <w:p w:rsidR="00D22D7A" w:rsidRPr="00197C61" w:rsidRDefault="00D22D7A" w:rsidP="00D22D7A">
            <w:pPr>
              <w:pStyle w:val="ListParagraph"/>
              <w:numPr>
                <w:ilvl w:val="1"/>
                <w:numId w:val="1"/>
              </w:numPr>
              <w:ind w:left="335" w:hanging="147"/>
              <w:rPr>
                <w:sz w:val="16"/>
                <w:szCs w:val="16"/>
              </w:rPr>
            </w:pPr>
            <w:r w:rsidRPr="00197C61">
              <w:rPr>
                <w:sz w:val="16"/>
                <w:szCs w:val="16"/>
              </w:rPr>
              <w:t>from public resources at the state, national, and international levels</w:t>
            </w:r>
          </w:p>
          <w:p w:rsidR="00D22D7A" w:rsidRPr="00197C61" w:rsidRDefault="00D22D7A" w:rsidP="00D22D7A">
            <w:pPr>
              <w:pStyle w:val="ListParagraph"/>
              <w:numPr>
                <w:ilvl w:val="1"/>
                <w:numId w:val="1"/>
              </w:numPr>
              <w:ind w:left="335" w:hanging="147"/>
              <w:rPr>
                <w:sz w:val="16"/>
                <w:szCs w:val="16"/>
              </w:rPr>
            </w:pPr>
            <w:r w:rsidRPr="00197C61">
              <w:rPr>
                <w:sz w:val="16"/>
                <w:szCs w:val="16"/>
              </w:rPr>
              <w:t>from individual, business, corporate, and foundation gifts</w:t>
            </w:r>
          </w:p>
          <w:p w:rsidR="00D22D7A" w:rsidRDefault="00D22D7A" w:rsidP="00D22D7A">
            <w:pPr>
              <w:pStyle w:val="ListParagraph"/>
              <w:numPr>
                <w:ilvl w:val="1"/>
                <w:numId w:val="1"/>
              </w:numPr>
              <w:ind w:left="335" w:hanging="147"/>
              <w:rPr>
                <w:sz w:val="16"/>
                <w:szCs w:val="16"/>
              </w:rPr>
            </w:pPr>
            <w:r w:rsidRPr="00197C61">
              <w:rPr>
                <w:sz w:val="16"/>
                <w:szCs w:val="16"/>
              </w:rPr>
              <w:t>from strategic grant-writing</w:t>
            </w:r>
          </w:p>
          <w:p w:rsidR="00D22D7A" w:rsidRDefault="00D22D7A" w:rsidP="00D22D7A">
            <w:pPr>
              <w:pStyle w:val="ListParagraph"/>
              <w:numPr>
                <w:ilvl w:val="1"/>
                <w:numId w:val="1"/>
              </w:numPr>
              <w:ind w:left="335" w:hanging="1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 tuition and fee strategies</w:t>
            </w:r>
          </w:p>
          <w:p w:rsidR="00D22D7A" w:rsidRPr="004131F1" w:rsidRDefault="00BD154B" w:rsidP="004131F1">
            <w:pPr>
              <w:pStyle w:val="ListParagraph"/>
              <w:numPr>
                <w:ilvl w:val="1"/>
                <w:numId w:val="1"/>
              </w:numPr>
              <w:ind w:left="335" w:hanging="1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 building and</w:t>
            </w:r>
            <w:r w:rsidR="00D22D7A" w:rsidRPr="00D22D7A">
              <w:rPr>
                <w:sz w:val="16"/>
                <w:szCs w:val="16"/>
              </w:rPr>
              <w:t xml:space="preserve"> maintaining reserves for strategic purposes</w:t>
            </w:r>
          </w:p>
        </w:tc>
        <w:tc>
          <w:tcPr>
            <w:tcW w:w="2208" w:type="dxa"/>
            <w:shd w:val="clear" w:color="auto" w:fill="B6DDE8" w:themeFill="accent5" w:themeFillTint="66"/>
          </w:tcPr>
          <w:p w:rsidR="00D22D7A" w:rsidRDefault="00D22D7A" w:rsidP="00D22D7A">
            <w:pPr>
              <w:pStyle w:val="ListParagraph"/>
              <w:ind w:left="0"/>
              <w:rPr>
                <w:b/>
                <w:sz w:val="16"/>
                <w:szCs w:val="16"/>
              </w:rPr>
            </w:pPr>
          </w:p>
          <w:p w:rsidR="00D22D7A" w:rsidRDefault="00D22D7A" w:rsidP="00D22D7A">
            <w:pPr>
              <w:pStyle w:val="ListParagraph"/>
              <w:ind w:left="0"/>
              <w:jc w:val="center"/>
              <w:rPr>
                <w:b/>
                <w:sz w:val="16"/>
                <w:szCs w:val="16"/>
              </w:rPr>
            </w:pPr>
            <w:r w:rsidRPr="00197C61">
              <w:rPr>
                <w:b/>
                <w:sz w:val="16"/>
                <w:szCs w:val="16"/>
              </w:rPr>
              <w:t xml:space="preserve">Invest in and Build a Strong Capacity in  </w:t>
            </w:r>
          </w:p>
          <w:p w:rsidR="00D22D7A" w:rsidRPr="00197C61" w:rsidRDefault="00D22D7A" w:rsidP="00D22D7A">
            <w:pPr>
              <w:pStyle w:val="ListParagraph"/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197C61">
              <w:rPr>
                <w:b/>
                <w:sz w:val="16"/>
                <w:szCs w:val="16"/>
                <w:u w:val="single"/>
              </w:rPr>
              <w:t>Human Capital</w:t>
            </w:r>
            <w:r w:rsidRPr="00197C61">
              <w:rPr>
                <w:b/>
                <w:sz w:val="16"/>
                <w:szCs w:val="16"/>
              </w:rPr>
              <w:t xml:space="preserve"> </w:t>
            </w:r>
          </w:p>
          <w:p w:rsidR="00D22D7A" w:rsidRPr="00197C61" w:rsidRDefault="00D22D7A" w:rsidP="00D22D7A">
            <w:pPr>
              <w:pStyle w:val="ListParagraph"/>
              <w:ind w:left="0"/>
              <w:rPr>
                <w:b/>
                <w:sz w:val="16"/>
                <w:szCs w:val="16"/>
                <w:u w:val="single"/>
              </w:rPr>
            </w:pPr>
          </w:p>
          <w:p w:rsidR="00D22D7A" w:rsidRPr="00197C61" w:rsidRDefault="00D22D7A" w:rsidP="00D22D7A">
            <w:pPr>
              <w:pStyle w:val="ListParagraph"/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22D7A" w:rsidRPr="00197C61" w:rsidRDefault="00D22D7A" w:rsidP="00D22D7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16"/>
                <w:szCs w:val="16"/>
              </w:rPr>
            </w:pPr>
            <w:r w:rsidRPr="00197C61">
              <w:rPr>
                <w:sz w:val="16"/>
                <w:szCs w:val="16"/>
              </w:rPr>
              <w:t>Support and strengthen faculty through establishing aspirational goals for credentialing and funding faculty development</w:t>
            </w:r>
          </w:p>
          <w:p w:rsidR="00D22D7A" w:rsidRPr="00197C61" w:rsidRDefault="00D22D7A" w:rsidP="00D22D7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16"/>
                <w:szCs w:val="16"/>
              </w:rPr>
            </w:pPr>
            <w:r w:rsidRPr="00197C61">
              <w:rPr>
                <w:sz w:val="16"/>
                <w:szCs w:val="16"/>
              </w:rPr>
              <w:t>Build strong  local administrative and leadership capacity</w:t>
            </w:r>
          </w:p>
          <w:p w:rsidR="00D22D7A" w:rsidRPr="00DD66B8" w:rsidRDefault="00D22D7A" w:rsidP="00D22D7A">
            <w:pPr>
              <w:pStyle w:val="ListParagraph"/>
              <w:ind w:left="335"/>
              <w:rPr>
                <w:sz w:val="16"/>
                <w:szCs w:val="16"/>
              </w:rPr>
            </w:pPr>
            <w:r w:rsidRPr="00197C61">
              <w:rPr>
                <w:sz w:val="16"/>
                <w:szCs w:val="16"/>
              </w:rPr>
              <w:t>Develop aspirational, equitable long-term benchmarks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D22D7A" w:rsidRPr="00197C61" w:rsidRDefault="00D22D7A" w:rsidP="00C66DF3">
            <w:pPr>
              <w:pStyle w:val="ListParagraph"/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  <w:r w:rsidRPr="00197C61">
              <w:rPr>
                <w:b/>
                <w:sz w:val="16"/>
                <w:szCs w:val="16"/>
              </w:rPr>
              <w:t xml:space="preserve">To Be a Learning Organization that Exemplifies Participatory </w:t>
            </w:r>
            <w:r w:rsidRPr="00197C61">
              <w:rPr>
                <w:b/>
                <w:sz w:val="16"/>
                <w:szCs w:val="16"/>
                <w:u w:val="single"/>
              </w:rPr>
              <w:t>Governance</w:t>
            </w:r>
          </w:p>
          <w:p w:rsidR="00D22D7A" w:rsidRDefault="00D22D7A" w:rsidP="00C66DF3">
            <w:pPr>
              <w:pStyle w:val="ListParagraph"/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22D7A" w:rsidRPr="00197C61" w:rsidRDefault="00D22D7A" w:rsidP="00C66DF3">
            <w:pPr>
              <w:pStyle w:val="ListParagraph"/>
              <w:ind w:left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22D7A" w:rsidRPr="00197C61" w:rsidRDefault="00D22D7A" w:rsidP="00C66DF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16"/>
                <w:szCs w:val="16"/>
              </w:rPr>
            </w:pPr>
            <w:r w:rsidRPr="00197C61">
              <w:rPr>
                <w:sz w:val="16"/>
                <w:szCs w:val="16"/>
              </w:rPr>
              <w:t>Be typified by effective, integrated, and broad-based strategic planning</w:t>
            </w:r>
          </w:p>
          <w:p w:rsidR="00D22D7A" w:rsidRPr="00197C61" w:rsidRDefault="00D22D7A" w:rsidP="00C66DF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16"/>
                <w:szCs w:val="16"/>
              </w:rPr>
            </w:pPr>
            <w:r w:rsidRPr="00197C61">
              <w:rPr>
                <w:sz w:val="16"/>
                <w:szCs w:val="16"/>
              </w:rPr>
              <w:t>Engage in meaningful and regular dialog about educational outcomes and institutional effectiveness</w:t>
            </w:r>
          </w:p>
          <w:p w:rsidR="00D22D7A" w:rsidRPr="00197C61" w:rsidRDefault="00D22D7A" w:rsidP="00C66DF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16"/>
                <w:szCs w:val="16"/>
              </w:rPr>
            </w:pPr>
            <w:r w:rsidRPr="00197C61">
              <w:rPr>
                <w:sz w:val="16"/>
                <w:szCs w:val="16"/>
              </w:rPr>
              <w:t>Value  and exhibit collaboration and good teamwork</w:t>
            </w:r>
          </w:p>
          <w:p w:rsidR="00D22D7A" w:rsidRPr="00197C61" w:rsidRDefault="00D22D7A" w:rsidP="00C66DF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16"/>
                <w:szCs w:val="16"/>
              </w:rPr>
            </w:pPr>
            <w:r w:rsidRPr="00197C61">
              <w:rPr>
                <w:sz w:val="16"/>
                <w:szCs w:val="16"/>
              </w:rPr>
              <w:t xml:space="preserve">Manifest </w:t>
            </w:r>
            <w:r>
              <w:rPr>
                <w:sz w:val="16"/>
                <w:szCs w:val="16"/>
              </w:rPr>
              <w:t xml:space="preserve">broad-based participation </w:t>
            </w:r>
            <w:r w:rsidRPr="00197C61">
              <w:rPr>
                <w:sz w:val="16"/>
                <w:szCs w:val="16"/>
              </w:rPr>
              <w:t>at every level of the institution</w:t>
            </w:r>
            <w:r>
              <w:rPr>
                <w:sz w:val="16"/>
                <w:szCs w:val="16"/>
              </w:rPr>
              <w:t xml:space="preserve"> and with stakeholders</w:t>
            </w:r>
          </w:p>
          <w:p w:rsidR="00D22D7A" w:rsidRPr="00197C61" w:rsidRDefault="00D22D7A" w:rsidP="00C66DF3">
            <w:pPr>
              <w:pStyle w:val="ListParagraph"/>
              <w:ind w:left="180"/>
              <w:rPr>
                <w:sz w:val="16"/>
                <w:szCs w:val="16"/>
              </w:rPr>
            </w:pPr>
          </w:p>
        </w:tc>
      </w:tr>
    </w:tbl>
    <w:p w:rsidR="00DF6F17" w:rsidRDefault="00DF6F17" w:rsidP="004131F1"/>
    <w:sectPr w:rsidR="00DF6F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E8" w:rsidRDefault="006536E8" w:rsidP="00DF6F17">
      <w:pPr>
        <w:spacing w:after="0" w:line="240" w:lineRule="auto"/>
      </w:pPr>
      <w:r>
        <w:separator/>
      </w:r>
    </w:p>
  </w:endnote>
  <w:endnote w:type="continuationSeparator" w:id="0">
    <w:p w:rsidR="006536E8" w:rsidRDefault="006536E8" w:rsidP="00DF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17" w:rsidRDefault="00DF6F17" w:rsidP="00DF6F17">
    <w:pPr>
      <w:pStyle w:val="Footer"/>
      <w:jc w:val="right"/>
    </w:pPr>
    <w:r>
      <w:t>January 1</w:t>
    </w:r>
    <w:r w:rsidR="00877B4B">
      <w:t>4</w:t>
    </w:r>
    <w:r>
      <w:t>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E8" w:rsidRDefault="006536E8" w:rsidP="00DF6F17">
      <w:pPr>
        <w:spacing w:after="0" w:line="240" w:lineRule="auto"/>
      </w:pPr>
      <w:r>
        <w:separator/>
      </w:r>
    </w:p>
  </w:footnote>
  <w:footnote w:type="continuationSeparator" w:id="0">
    <w:p w:rsidR="006536E8" w:rsidRDefault="006536E8" w:rsidP="00DF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4B" w:rsidRPr="00BD154B" w:rsidRDefault="00877B4B" w:rsidP="00877B4B">
    <w:pPr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Board of Regents</w:t>
    </w:r>
    <w:r>
      <w:rPr>
        <w:b/>
        <w:sz w:val="24"/>
        <w:szCs w:val="24"/>
        <w:u w:val="single"/>
      </w:rPr>
      <w:t xml:space="preserve"> Strategic Institutional Outcomes </w:t>
    </w:r>
    <w:r w:rsidR="00744CF7">
      <w:rPr>
        <w:b/>
        <w:sz w:val="24"/>
        <w:szCs w:val="24"/>
        <w:u w:val="single"/>
      </w:rPr>
      <w:t>and Input</w:t>
    </w:r>
    <w:r>
      <w:rPr>
        <w:b/>
        <w:sz w:val="24"/>
        <w:szCs w:val="24"/>
        <w:u w:val="single"/>
      </w:rPr>
      <w:t xml:space="preserve"> for the COM-FSM Vision</w:t>
    </w:r>
  </w:p>
  <w:p w:rsidR="00877B4B" w:rsidRDefault="00877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9BF"/>
    <w:multiLevelType w:val="hybridMultilevel"/>
    <w:tmpl w:val="4692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85340"/>
    <w:multiLevelType w:val="hybridMultilevel"/>
    <w:tmpl w:val="E5522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AA5308"/>
    <w:multiLevelType w:val="hybridMultilevel"/>
    <w:tmpl w:val="2AF2D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AD1A00"/>
    <w:multiLevelType w:val="hybridMultilevel"/>
    <w:tmpl w:val="6ADE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7A"/>
    <w:rsid w:val="000A0D69"/>
    <w:rsid w:val="003E4CF9"/>
    <w:rsid w:val="004131F1"/>
    <w:rsid w:val="00563D97"/>
    <w:rsid w:val="006536E8"/>
    <w:rsid w:val="00744CF7"/>
    <w:rsid w:val="00762AD3"/>
    <w:rsid w:val="008644B6"/>
    <w:rsid w:val="00877B4B"/>
    <w:rsid w:val="00BD154B"/>
    <w:rsid w:val="00CD2445"/>
    <w:rsid w:val="00D22D7A"/>
    <w:rsid w:val="00D470E8"/>
    <w:rsid w:val="00DF6F17"/>
    <w:rsid w:val="00E8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D7A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22D7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F17"/>
  </w:style>
  <w:style w:type="paragraph" w:styleId="Footer">
    <w:name w:val="footer"/>
    <w:basedOn w:val="Normal"/>
    <w:link w:val="FooterChar"/>
    <w:uiPriority w:val="99"/>
    <w:unhideWhenUsed/>
    <w:rsid w:val="00DF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D7A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22D7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F17"/>
  </w:style>
  <w:style w:type="paragraph" w:styleId="Footer">
    <w:name w:val="footer"/>
    <w:basedOn w:val="Normal"/>
    <w:link w:val="FooterChar"/>
    <w:uiPriority w:val="99"/>
    <w:unhideWhenUsed/>
    <w:rsid w:val="00DF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WGH</dc:creator>
  <cp:lastModifiedBy>WGH</cp:lastModifiedBy>
  <cp:revision>4</cp:revision>
  <dcterms:created xsi:type="dcterms:W3CDTF">2013-01-11T22:58:00Z</dcterms:created>
  <dcterms:modified xsi:type="dcterms:W3CDTF">2013-01-11T22:59:00Z</dcterms:modified>
</cp:coreProperties>
</file>